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南银理财珠联璧合安稳1905一年定开公募人民币理财产品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南银理财珠联璧合安稳1905一年定开公募人民币理财产品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Z7003221000026（投资者可依据该编码在中国理财网www.chinawealth.com.cn查询理财产品相关信息）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2019年05月09日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3,340,182,592.07份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Z30001</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3,434,062,068.19</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1.0281</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1.1735</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Z30001</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截至报告期末，本产品份额净值为1.0281元。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22088683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22宜兴城发03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299,896,598.19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8.73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22088626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22江苏新海连02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199,947,007.74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5.82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TYJKX202207180005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同业借款（长城金租）20220720</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199,903,477.74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5.82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ZJQTT202203100001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鑫元基金-鑫安利得62号集合资产管理计划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173,561,547.72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LRZCZ202207210021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融资业务债权收益权转让及远期受让-平安证券-安稳1905-第1期-20220726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149,919,926.45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TYJKX202208260004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同业借款（南银法巴消金）20220909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149,907,904.22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22088682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22陶都城发01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99,964,939.12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22088657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22如东东泰02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99,964,868.07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032280600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22启晟PPN003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86,993,475.00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167606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20如东01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60,000,489.08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江苏新海连发展集团有限公司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22江苏新海连02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如东县东泰社会发展投资有限责任公司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22如东东泰02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镇江城市建设产业集团有限公司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22镇江城建02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长城国兴金融租赁有限公司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同业借款（长城金租）20220720</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宜兴市城市发展投资有限公司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22宜兴城发03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平安证券股份有限公司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融资业务债权收益权转让及远期受让-平安证券-安稳1905-第1期-20220726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两融资产转让</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渝农商金融租赁有限责任公司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同业借款（渝农商金租）20220035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江苏陶都城市发展投资有限公司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22陶都城发01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南银法巴消费金融有限公司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同业借款（南银法巴消金）20220909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南京浦口经济开发有限公司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0120080000000273</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南京银行安稳1905一年定开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产品投资于关联方承销的证券交易金额19,995,465.75元。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产品与关联方作为交易对手开展的投融资业务交易金额173,285,909.61元。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支付关联方托管费164,721.60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支付关联方代销费1,640,071.88元。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